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CB1144" w14:paraId="08269DDD" w14:textId="77777777" w:rsidTr="00682D5E">
        <w:tc>
          <w:tcPr>
            <w:tcW w:w="4889" w:type="dxa"/>
          </w:tcPr>
          <w:p w14:paraId="69351ADD" w14:textId="0E6736F8" w:rsidR="00682D5E" w:rsidRDefault="00CB1144" w:rsidP="00682D5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B491E6" wp14:editId="4F456E01">
                  <wp:extent cx="2209800" cy="541617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nfinity 2019 tracciat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34" cy="58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3554900A" w14:textId="3C30AC5F" w:rsidR="00682D5E" w:rsidRDefault="00CB1144" w:rsidP="00682D5E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519786" wp14:editId="3B9E7D9B">
                  <wp:extent cx="1828800" cy="283295"/>
                  <wp:effectExtent l="0" t="0" r="0" b="0"/>
                  <wp:docPr id="2" name="Immagine 2" descr="Immagine che contiene disegnando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olatube b-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106" cy="31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21F" w14:paraId="6165CBEF" w14:textId="77777777" w:rsidTr="0097321F">
        <w:tc>
          <w:tcPr>
            <w:tcW w:w="4889" w:type="dxa"/>
          </w:tcPr>
          <w:p w14:paraId="2194CD80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89" w:type="dxa"/>
          </w:tcPr>
          <w:p w14:paraId="649C75F3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  <w:tr w:rsidR="0097321F" w14:paraId="1A134244" w14:textId="77777777" w:rsidTr="0097321F">
        <w:tc>
          <w:tcPr>
            <w:tcW w:w="4889" w:type="dxa"/>
          </w:tcPr>
          <w:p w14:paraId="4B0407A3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89" w:type="dxa"/>
          </w:tcPr>
          <w:p w14:paraId="74A5DCC4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  <w:tr w:rsidR="0097321F" w14:paraId="375DEB3D" w14:textId="77777777" w:rsidTr="0097321F">
        <w:tc>
          <w:tcPr>
            <w:tcW w:w="4889" w:type="dxa"/>
          </w:tcPr>
          <w:p w14:paraId="476BC965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89" w:type="dxa"/>
          </w:tcPr>
          <w:p w14:paraId="0D19F1CD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  <w:tr w:rsidR="0097321F" w14:paraId="76CF1463" w14:textId="77777777" w:rsidTr="0097321F">
        <w:tc>
          <w:tcPr>
            <w:tcW w:w="4889" w:type="dxa"/>
          </w:tcPr>
          <w:p w14:paraId="03CDB5A7" w14:textId="77777777" w:rsidR="0097321F" w:rsidRDefault="0097321F" w:rsidP="00682D5E">
            <w:pPr>
              <w:rPr>
                <w:b/>
                <w:noProof/>
              </w:rPr>
            </w:pPr>
          </w:p>
        </w:tc>
        <w:tc>
          <w:tcPr>
            <w:tcW w:w="4889" w:type="dxa"/>
          </w:tcPr>
          <w:p w14:paraId="05BE765A" w14:textId="77777777" w:rsidR="0097321F" w:rsidRDefault="0097321F" w:rsidP="00682D5E">
            <w:pPr>
              <w:jc w:val="right"/>
              <w:rPr>
                <w:b/>
                <w:noProof/>
              </w:rPr>
            </w:pPr>
          </w:p>
        </w:tc>
      </w:tr>
      <w:tr w:rsidR="0097321F" w:rsidRPr="0097321F" w14:paraId="166FD90B" w14:textId="77777777" w:rsidTr="009732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7661124B" w14:textId="5BE64579" w:rsidR="0097321F" w:rsidRDefault="0097321F" w:rsidP="00251B62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222222"/>
                <w:lang w:eastAsia="it-IT"/>
              </w:rPr>
              <w:drawing>
                <wp:inline distT="0" distB="0" distL="0" distR="0" wp14:anchorId="2C0421ED" wp14:editId="35965B50">
                  <wp:extent cx="1743075" cy="83811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96" cy="85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0507C727" w14:textId="768047F6" w:rsidR="0097321F" w:rsidRPr="0097321F" w:rsidRDefault="0097321F" w:rsidP="00251B62">
            <w:pPr>
              <w:jc w:val="both"/>
              <w:rPr>
                <w:bCs/>
                <w:sz w:val="20"/>
                <w:szCs w:val="20"/>
              </w:rPr>
            </w:pPr>
            <w:r w:rsidRPr="0097321F">
              <w:rPr>
                <w:bCs/>
                <w:sz w:val="20"/>
                <w:szCs w:val="20"/>
              </w:rPr>
              <w:t>In conformità al regolamento UE NO.305 / 2011 sulla base di: documento di valutazione europeo (EAD) 220021-00-0402 adotta luglio 2015</w:t>
            </w:r>
          </w:p>
        </w:tc>
      </w:tr>
    </w:tbl>
    <w:p w14:paraId="50F2D4D3" w14:textId="5F3A6E26" w:rsidR="000F0A56" w:rsidRDefault="000F0A56" w:rsidP="00251B62">
      <w:pPr>
        <w:jc w:val="both"/>
        <w:rPr>
          <w:b/>
          <w:sz w:val="32"/>
          <w:szCs w:val="32"/>
        </w:rPr>
      </w:pPr>
      <w:r w:rsidRPr="000F0A56">
        <w:rPr>
          <w:b/>
          <w:sz w:val="32"/>
          <w:szCs w:val="32"/>
        </w:rPr>
        <w:t>Voce</w:t>
      </w:r>
      <w:r w:rsidR="001F2A72">
        <w:rPr>
          <w:b/>
          <w:sz w:val="32"/>
          <w:szCs w:val="32"/>
        </w:rPr>
        <w:t xml:space="preserve"> di Capitolato Solatube DS </w:t>
      </w:r>
      <w:r w:rsidR="006C3077">
        <w:rPr>
          <w:b/>
          <w:sz w:val="32"/>
          <w:szCs w:val="32"/>
        </w:rPr>
        <w:t>16</w:t>
      </w:r>
      <w:r w:rsidR="001F2A72">
        <w:rPr>
          <w:b/>
          <w:sz w:val="32"/>
          <w:szCs w:val="32"/>
        </w:rPr>
        <w:t xml:space="preserve">0 </w:t>
      </w:r>
      <w:r w:rsidRPr="000F0A56">
        <w:rPr>
          <w:b/>
          <w:sz w:val="32"/>
          <w:szCs w:val="32"/>
        </w:rPr>
        <w:t xml:space="preserve"> ( </w:t>
      </w:r>
      <w:r w:rsidR="00344062">
        <w:rPr>
          <w:b/>
          <w:sz w:val="32"/>
          <w:szCs w:val="32"/>
        </w:rPr>
        <w:t>Ø</w:t>
      </w:r>
      <w:r w:rsidR="006C3077">
        <w:rPr>
          <w:b/>
          <w:sz w:val="32"/>
          <w:szCs w:val="32"/>
        </w:rPr>
        <w:t>2</w:t>
      </w:r>
      <w:r w:rsidRPr="000F0A56">
        <w:rPr>
          <w:b/>
          <w:sz w:val="32"/>
          <w:szCs w:val="32"/>
        </w:rPr>
        <w:t xml:space="preserve">50mm Daylighting System ) </w:t>
      </w:r>
    </w:p>
    <w:p w14:paraId="0EDB838A" w14:textId="5E351E38" w:rsidR="00125333" w:rsidRDefault="001F2A72" w:rsidP="00251B62">
      <w:pPr>
        <w:jc w:val="both"/>
        <w:rPr>
          <w:b/>
          <w:lang w:val="en-US"/>
        </w:rPr>
      </w:pPr>
      <w:r w:rsidRPr="006C3077">
        <w:rPr>
          <w:b/>
          <w:lang w:val="en-US"/>
        </w:rPr>
        <w:t xml:space="preserve">SOLATUBE® MODELLO </w:t>
      </w:r>
      <w:r w:rsidR="006C3077" w:rsidRPr="006C3077">
        <w:rPr>
          <w:b/>
          <w:lang w:val="en-US"/>
        </w:rPr>
        <w:t>160</w:t>
      </w:r>
      <w:r w:rsidRPr="006C3077">
        <w:rPr>
          <w:b/>
          <w:lang w:val="en-US"/>
        </w:rPr>
        <w:t xml:space="preserve"> DS-</w:t>
      </w:r>
      <w:r w:rsidR="00472CBA" w:rsidRPr="006C3077">
        <w:rPr>
          <w:b/>
          <w:lang w:val="en-US"/>
        </w:rPr>
        <w:t xml:space="preserve"> (</w:t>
      </w:r>
      <w:r w:rsidR="003E6104">
        <w:rPr>
          <w:rFonts w:cstheme="minorHAnsi"/>
          <w:b/>
          <w:lang w:val="en-US"/>
        </w:rPr>
        <w:t>Ø</w:t>
      </w:r>
      <w:r w:rsidR="006C3077" w:rsidRPr="006C3077">
        <w:rPr>
          <w:b/>
          <w:lang w:val="en-US"/>
        </w:rPr>
        <w:t>2</w:t>
      </w:r>
      <w:r w:rsidR="00472CBA" w:rsidRPr="006C3077">
        <w:rPr>
          <w:b/>
          <w:lang w:val="en-US"/>
        </w:rPr>
        <w:t>50mm Daylighting System)</w:t>
      </w:r>
    </w:p>
    <w:p w14:paraId="1651F34B" w14:textId="77777777" w:rsidR="00472CBA" w:rsidRPr="00D73BB8" w:rsidRDefault="00472CBA" w:rsidP="00251B62">
      <w:pPr>
        <w:jc w:val="both"/>
      </w:pPr>
      <w:r w:rsidRPr="00D73BB8">
        <w:t xml:space="preserve">Il condotto per l’illuminazione diurna o Daylighting System </w:t>
      </w:r>
      <w:r w:rsidR="006C3077">
        <w:t>16</w:t>
      </w:r>
      <w:r w:rsidRPr="00D73BB8">
        <w:t xml:space="preserve">0DS </w:t>
      </w:r>
      <w:r w:rsidR="001F2A72">
        <w:t>o</w:t>
      </w:r>
      <w:r w:rsidRPr="00D73BB8">
        <w:t xml:space="preserve"> </w:t>
      </w:r>
      <w:r w:rsidR="00D73BB8" w:rsidRPr="00D73BB8">
        <w:t>con</w:t>
      </w:r>
      <w:r w:rsidR="006C3077">
        <w:t xml:space="preserve"> diametro pari a 25</w:t>
      </w:r>
      <w:r w:rsidRPr="00D73BB8">
        <w:t>0mm e sarà scelto in funzione dei seguenti parametri.</w:t>
      </w:r>
    </w:p>
    <w:p w14:paraId="60EF3386" w14:textId="77777777" w:rsidR="00472CBA" w:rsidRPr="00D73BB8" w:rsidRDefault="00472CBA" w:rsidP="00251B62">
      <w:pPr>
        <w:pStyle w:val="Paragrafoelenco"/>
        <w:numPr>
          <w:ilvl w:val="0"/>
          <w:numId w:val="1"/>
        </w:numPr>
        <w:jc w:val="both"/>
      </w:pPr>
      <w:r w:rsidRPr="00D73BB8">
        <w:t>Geometria del percorso</w:t>
      </w:r>
    </w:p>
    <w:p w14:paraId="53988D1F" w14:textId="77777777" w:rsidR="00472CBA" w:rsidRPr="00D73BB8" w:rsidRDefault="00472CBA" w:rsidP="00251B62">
      <w:pPr>
        <w:pStyle w:val="Paragrafoelenco"/>
        <w:numPr>
          <w:ilvl w:val="0"/>
          <w:numId w:val="1"/>
        </w:numPr>
        <w:jc w:val="both"/>
      </w:pPr>
      <w:r w:rsidRPr="00D73BB8">
        <w:t>Lunghezza del medesimo</w:t>
      </w:r>
    </w:p>
    <w:p w14:paraId="1E6AB841" w14:textId="77777777" w:rsidR="00472CBA" w:rsidRPr="00D73BB8" w:rsidRDefault="00472CBA" w:rsidP="00251B62">
      <w:pPr>
        <w:pStyle w:val="Paragrafoelenco"/>
        <w:numPr>
          <w:ilvl w:val="0"/>
          <w:numId w:val="1"/>
        </w:numPr>
        <w:jc w:val="both"/>
      </w:pPr>
      <w:r w:rsidRPr="00D73BB8">
        <w:t>Superficie illuminabile</w:t>
      </w:r>
    </w:p>
    <w:p w14:paraId="7F2B4EDB" w14:textId="77777777" w:rsidR="00472CBA" w:rsidRPr="00D73BB8" w:rsidRDefault="00472CBA" w:rsidP="00251B62">
      <w:pPr>
        <w:pStyle w:val="Paragrafoelenco"/>
        <w:numPr>
          <w:ilvl w:val="0"/>
          <w:numId w:val="1"/>
        </w:numPr>
        <w:jc w:val="both"/>
      </w:pPr>
      <w:r w:rsidRPr="00D73BB8">
        <w:t>Dalla</w:t>
      </w:r>
      <w:r w:rsidR="00A54158">
        <w:t xml:space="preserve"> distanza delle strutture</w:t>
      </w:r>
      <w:r w:rsidRPr="00D73BB8">
        <w:t xml:space="preserve"> portanti in copertura</w:t>
      </w:r>
    </w:p>
    <w:p w14:paraId="3B7D1F12" w14:textId="77777777" w:rsidR="00472CBA" w:rsidRPr="00D73BB8" w:rsidRDefault="00472CBA" w:rsidP="00251B62">
      <w:pPr>
        <w:pStyle w:val="Paragrafoelenco"/>
        <w:numPr>
          <w:ilvl w:val="0"/>
          <w:numId w:val="1"/>
        </w:numPr>
        <w:jc w:val="both"/>
      </w:pPr>
      <w:r w:rsidRPr="00D73BB8">
        <w:t xml:space="preserve">Isolamento acustico </w:t>
      </w:r>
      <w:r w:rsidR="00EA4747" w:rsidRPr="00D73BB8">
        <w:t xml:space="preserve"> ( in funzione delle normative vigenti )</w:t>
      </w:r>
    </w:p>
    <w:p w14:paraId="4A1DC497" w14:textId="77777777" w:rsidR="00472CBA" w:rsidRPr="00D73BB8" w:rsidRDefault="00EA4747" w:rsidP="00251B62">
      <w:pPr>
        <w:pStyle w:val="Paragrafoelenco"/>
        <w:numPr>
          <w:ilvl w:val="0"/>
          <w:numId w:val="1"/>
        </w:numPr>
        <w:jc w:val="both"/>
      </w:pPr>
      <w:r w:rsidRPr="00D73BB8">
        <w:t xml:space="preserve">Trasmittanza termica </w:t>
      </w:r>
    </w:p>
    <w:p w14:paraId="730BA088" w14:textId="102F1584" w:rsidR="00D73BB8" w:rsidRDefault="00D73BB8" w:rsidP="00251B62">
      <w:pPr>
        <w:pStyle w:val="Paragrafoelenco"/>
        <w:numPr>
          <w:ilvl w:val="0"/>
          <w:numId w:val="1"/>
        </w:numPr>
        <w:jc w:val="both"/>
      </w:pPr>
      <w:r w:rsidRPr="00D73BB8">
        <w:t>Eventuali accessori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4585"/>
        <w:gridCol w:w="1445"/>
        <w:gridCol w:w="1806"/>
        <w:gridCol w:w="1806"/>
      </w:tblGrid>
      <w:tr w:rsidR="003E6104" w14:paraId="25476885" w14:textId="77777777" w:rsidTr="003E610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69C" w14:textId="77777777" w:rsidR="003E6104" w:rsidRDefault="003E6104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4415" w14:textId="77777777" w:rsidR="003E6104" w:rsidRDefault="003E6104">
            <w:pPr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BD18" w14:textId="77777777" w:rsidR="003E6104" w:rsidRDefault="003E6104">
            <w:pPr>
              <w:rPr>
                <w:b/>
              </w:rPr>
            </w:pPr>
            <w:r>
              <w:rPr>
                <w:b/>
              </w:rPr>
              <w:t>Valore U</w:t>
            </w:r>
          </w:p>
          <w:p w14:paraId="0D79CBAC" w14:textId="2FA4F5F6" w:rsidR="000B5021" w:rsidRDefault="00EF2B92">
            <w:pPr>
              <w:rPr>
                <w:b/>
              </w:rPr>
            </w:pPr>
            <w:r>
              <w:rPr>
                <w:b/>
              </w:rPr>
              <w:t>EN –ISO 12567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AA5" w14:textId="71095804" w:rsidR="003E6104" w:rsidRDefault="00BD5A8E">
            <w:pPr>
              <w:rPr>
                <w:b/>
              </w:rPr>
            </w:pPr>
            <w:r>
              <w:rPr>
                <w:b/>
              </w:rPr>
              <w:t>Caduta corpo Molle EN 1873</w:t>
            </w:r>
          </w:p>
        </w:tc>
      </w:tr>
      <w:tr w:rsidR="003E6104" w14:paraId="223E9CB9" w14:textId="77777777" w:rsidTr="003E610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8238" w14:textId="77777777" w:rsidR="003E6104" w:rsidRDefault="003E6104">
            <w:pPr>
              <w:rPr>
                <w:b/>
              </w:rPr>
            </w:pPr>
            <w:r>
              <w:rPr>
                <w:b/>
              </w:rPr>
              <w:t>Superficie illuminabile &lt; 10 m²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7841" w14:textId="77777777" w:rsidR="003E6104" w:rsidRDefault="003E6104">
            <w:r>
              <w:t>Standard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549F" w14:textId="77777777" w:rsidR="003E6104" w:rsidRDefault="003E6104">
            <w:r>
              <w:rPr>
                <w:rFonts w:cs="Arial"/>
                <w:sz w:val="21"/>
                <w:szCs w:val="21"/>
                <w:shd w:val="clear" w:color="auto" w:fill="FFFFFF"/>
              </w:rPr>
              <w:t>1,3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06AB" w14:textId="0686FF8F" w:rsidR="003E6104" w:rsidRDefault="00BD5A8E">
            <w:r>
              <w:t xml:space="preserve">1350 SB </w:t>
            </w:r>
          </w:p>
        </w:tc>
      </w:tr>
      <w:tr w:rsidR="003E6104" w14:paraId="4804A799" w14:textId="77777777" w:rsidTr="003E610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2D70" w14:textId="77777777" w:rsidR="003E6104" w:rsidRDefault="003E6104">
            <w:pPr>
              <w:rPr>
                <w:b/>
              </w:rPr>
            </w:pPr>
            <w:r>
              <w:rPr>
                <w:b/>
              </w:rPr>
              <w:t>Lunghezza massima Suggerita &lt; 8m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FF6B" w14:textId="77777777" w:rsidR="003E6104" w:rsidRDefault="003E6104">
            <w:r>
              <w:t>ECO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B4FD" w14:textId="77777777" w:rsidR="003E6104" w:rsidRDefault="003E6104">
            <w:r>
              <w:rPr>
                <w:rFonts w:cs="Arial"/>
                <w:sz w:val="21"/>
                <w:szCs w:val="21"/>
                <w:shd w:val="clear" w:color="auto" w:fill="F9F9F9"/>
              </w:rPr>
              <w:t>0,5 W/m²K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3755" w14:textId="68F01226" w:rsidR="003E6104" w:rsidRDefault="00BD5A8E">
            <w:r>
              <w:t>1350 SB</w:t>
            </w:r>
          </w:p>
        </w:tc>
      </w:tr>
      <w:tr w:rsidR="003E6104" w14:paraId="1F7BF82F" w14:textId="77777777" w:rsidTr="003E610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6BD3" w14:textId="77777777" w:rsidR="003E6104" w:rsidRDefault="003E6104">
            <w:pPr>
              <w:rPr>
                <w:b/>
              </w:rPr>
            </w:pPr>
            <w:r>
              <w:rPr>
                <w:b/>
              </w:rPr>
              <w:t>Foro Solaio- cartongesso 275-280mm Massimo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649" w14:textId="77777777" w:rsidR="003E6104" w:rsidRDefault="003E6104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971" w14:textId="77777777" w:rsidR="003E6104" w:rsidRDefault="003E6104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59C" w14:textId="77777777" w:rsidR="003E6104" w:rsidRDefault="003E6104"/>
        </w:tc>
      </w:tr>
      <w:tr w:rsidR="003E6104" w14:paraId="28E7CD50" w14:textId="77777777" w:rsidTr="008834B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D3A0" w14:textId="77777777" w:rsidR="003E6104" w:rsidRDefault="003E6104">
            <w:r>
              <w:rPr>
                <w:b/>
                <w:sz w:val="24"/>
                <w:szCs w:val="24"/>
              </w:rPr>
              <w:t xml:space="preserve">Isolamento Acustico </w:t>
            </w:r>
            <w:r>
              <w:t xml:space="preserve">(S160 DS-DAI-FC-TIP-LN-L4) 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  <w:vertAlign w:val="subscript"/>
              </w:rPr>
              <w:t>n,e,w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 (C, C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  <w:vertAlign w:val="subscript"/>
              </w:rPr>
              <w:t>tr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</w:rPr>
              <w:t>) = 65 (- 1;- 5) Db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C52" w14:textId="515B6CF7" w:rsidR="003E6104" w:rsidRDefault="003E6104">
            <w:r w:rsidRPr="001412F4">
              <w:rPr>
                <w:b/>
                <w:u w:val="single"/>
              </w:rPr>
              <w:t>UNI EN ISO 717-1.</w:t>
            </w:r>
            <w:r>
              <w:rPr>
                <w:b/>
                <w:u w:val="single"/>
              </w:rPr>
              <w:t>2013</w:t>
            </w:r>
          </w:p>
        </w:tc>
      </w:tr>
    </w:tbl>
    <w:p w14:paraId="353D88D7" w14:textId="77777777" w:rsidR="0097321F" w:rsidRDefault="0097321F" w:rsidP="00251B62">
      <w:pPr>
        <w:jc w:val="both"/>
        <w:rPr>
          <w:b/>
        </w:rPr>
      </w:pPr>
    </w:p>
    <w:p w14:paraId="201A6CC8" w14:textId="51B20383" w:rsidR="00D73BB8" w:rsidRDefault="00D73BB8" w:rsidP="00251B62">
      <w:pPr>
        <w:jc w:val="both"/>
        <w:rPr>
          <w:b/>
        </w:rPr>
      </w:pPr>
      <w:r>
        <w:rPr>
          <w:b/>
        </w:rPr>
        <w:t xml:space="preserve">Solatube Serie SolaMaster® </w:t>
      </w:r>
      <w:r w:rsidR="006C3077">
        <w:rPr>
          <w:b/>
        </w:rPr>
        <w:t>160</w:t>
      </w:r>
      <w:r>
        <w:rPr>
          <w:b/>
        </w:rPr>
        <w:t xml:space="preserve"> DS - Dayl</w:t>
      </w:r>
      <w:r w:rsidR="006C3077">
        <w:rPr>
          <w:b/>
        </w:rPr>
        <w:t>ighting System con diametro di 25</w:t>
      </w:r>
      <w:r>
        <w:rPr>
          <w:b/>
        </w:rPr>
        <w:t xml:space="preserve">0mm </w:t>
      </w:r>
    </w:p>
    <w:p w14:paraId="30CBF35F" w14:textId="5DE7F2D7" w:rsidR="00B8611D" w:rsidRDefault="00B2606D" w:rsidP="00251B62">
      <w:pPr>
        <w:jc w:val="both"/>
      </w:pPr>
      <w:r>
        <w:rPr>
          <w:b/>
        </w:rPr>
        <w:t>1.</w:t>
      </w:r>
      <w:r w:rsidR="0057332C">
        <w:rPr>
          <w:b/>
        </w:rPr>
        <w:t xml:space="preserve">Calotta captatrice: </w:t>
      </w:r>
      <w:r w:rsidR="0057332C">
        <w:t>materiale acrilico alta</w:t>
      </w:r>
      <w:r w:rsidR="0038583D">
        <w:t>mente resistente agli urti ed anti</w:t>
      </w:r>
      <w:r w:rsidR="0057332C">
        <w:t xml:space="preserve"> raggi UV. Realizzata per iniezione in stampi, cla</w:t>
      </w:r>
      <w:r w:rsidR="006C3077">
        <w:t>ssificato come CC2, spessore  3</w:t>
      </w:r>
      <w:r w:rsidR="0057332C">
        <w:t xml:space="preserve"> mm con trasmissione di luce visibile al 92% e trasmissione  raggi ultravioletti dello 0.03%.  Modello brevettato con </w:t>
      </w:r>
      <w:r>
        <w:t xml:space="preserve">Tecnologia </w:t>
      </w:r>
      <w:r w:rsidR="0057332C">
        <w:t xml:space="preserve"> Raybender  3</w:t>
      </w:r>
      <w:r w:rsidR="003E6104">
        <w:t>500</w:t>
      </w:r>
      <w:r w:rsidR="0057332C">
        <w:t>®</w:t>
      </w:r>
      <w:r w:rsidR="00014EEC">
        <w:t xml:space="preserve"> ( calotta con </w:t>
      </w:r>
      <w:r w:rsidR="000B5021">
        <w:t xml:space="preserve">lenti di Fresnell o </w:t>
      </w:r>
      <w:r w:rsidR="00014EEC">
        <w:t xml:space="preserve">prismi ottici con inclinazione differenziata ) </w:t>
      </w:r>
      <w:r w:rsidR="00E1068A">
        <w:t xml:space="preserve">che consentono di ottenere prestazioni  differenziate con </w:t>
      </w:r>
      <w:r>
        <w:t xml:space="preserve">importante </w:t>
      </w:r>
      <w:r w:rsidR="00E1068A">
        <w:t xml:space="preserve"> incremento di luminosità </w:t>
      </w:r>
      <w:r w:rsidR="00014EEC">
        <w:t xml:space="preserve"> quando il sole ha una  angolazione molto bassa e limitare </w:t>
      </w:r>
      <w:r w:rsidR="00E1068A">
        <w:t xml:space="preserve">l’energia raccolta in estate quando il sole ha un altezza maggiore di 50° dall’orizzonte </w:t>
      </w:r>
      <w:r w:rsidR="000B5021">
        <w:t xml:space="preserve">.O Calotta Acrylic Flex dome con lenti di Fresnel posizionabili in funzione della località geografica e direzione cardinale  </w:t>
      </w:r>
    </w:p>
    <w:p w14:paraId="1B445EA1" w14:textId="5B966A55" w:rsidR="003A1049" w:rsidRPr="001412F4" w:rsidRDefault="00B2606D" w:rsidP="00251B62">
      <w:pPr>
        <w:jc w:val="both"/>
        <w:rPr>
          <w:b/>
          <w:u w:val="single"/>
        </w:rPr>
      </w:pPr>
      <w:r w:rsidRPr="003A1049">
        <w:rPr>
          <w:b/>
        </w:rPr>
        <w:lastRenderedPageBreak/>
        <w:t>2</w:t>
      </w:r>
      <w:r>
        <w:t xml:space="preserve">. </w:t>
      </w:r>
      <w:r w:rsidR="006C3077" w:rsidRPr="006C3077">
        <w:rPr>
          <w:b/>
        </w:rPr>
        <w:t xml:space="preserve">Shock </w:t>
      </w:r>
      <w:r w:rsidRPr="006C3077">
        <w:rPr>
          <w:b/>
        </w:rPr>
        <w:t>Inner Dome</w:t>
      </w:r>
      <w:r w:rsidR="003A1049" w:rsidRPr="003A1049">
        <w:rPr>
          <w:b/>
        </w:rPr>
        <w:t xml:space="preserve"> calotta interna opzionale</w:t>
      </w:r>
      <w:r w:rsidR="003A1049">
        <w:t xml:space="preserve">: </w:t>
      </w:r>
      <w:r>
        <w:t xml:space="preserve"> </w:t>
      </w:r>
      <w:r w:rsidR="003A1049">
        <w:t xml:space="preserve"> In materiale acrilico, realizzato per iniezione in stampi, cla</w:t>
      </w:r>
      <w:r w:rsidR="006C3077">
        <w:t>ssificato come  CC1, spessore  2,9</w:t>
      </w:r>
      <w:r w:rsidR="003A1049">
        <w:t xml:space="preserve"> mm . Inserendo l’Inner Dome si ottengono valori di trasmissione termica come da certificazione Energy Star ® </w:t>
      </w:r>
    </w:p>
    <w:p w14:paraId="28EEF52C" w14:textId="77777777" w:rsidR="004C495C" w:rsidRDefault="004C495C" w:rsidP="00251B62">
      <w:pPr>
        <w:jc w:val="both"/>
      </w:pPr>
      <w:r w:rsidRPr="004C495C">
        <w:rPr>
          <w:b/>
        </w:rPr>
        <w:t>3.LightTracker</w:t>
      </w:r>
      <w:r>
        <w:t>®: riflettore in Alluminio rivestito in Spectralight ®Infinity posizionato all’interno della calotta captatrice con lo scopo di catturare la luce naturale con basso angolo di incidenza</w:t>
      </w:r>
    </w:p>
    <w:p w14:paraId="724052AD" w14:textId="77777777" w:rsidR="004C495C" w:rsidRDefault="004C495C" w:rsidP="00251B62">
      <w:pPr>
        <w:jc w:val="both"/>
      </w:pPr>
      <w:r w:rsidRPr="004C495C">
        <w:rPr>
          <w:b/>
        </w:rPr>
        <w:t xml:space="preserve">4. Anello Sostegno Calotta: </w:t>
      </w:r>
      <w:r>
        <w:t xml:space="preserve">   In materiale acrilico, realizzato per iniezione in stampi, classificato come  CC1, spessore  2,3 mm antiurto. Incorpora una “gronda” che ha lo scopo di canalizzare verso l’esterno l’eventuale condensa.</w:t>
      </w:r>
      <w:r w:rsidRPr="004C495C">
        <w:t xml:space="preserve"> </w:t>
      </w:r>
      <w:r>
        <w:t>Crea  inoltre un taglio termico tra la scossalina e i condotti d’estensione.</w:t>
      </w:r>
    </w:p>
    <w:p w14:paraId="28B0B1CF" w14:textId="77777777" w:rsidR="001E3D81" w:rsidRDefault="001E3D81" w:rsidP="00251B62">
      <w:pPr>
        <w:jc w:val="both"/>
      </w:pPr>
      <w:r w:rsidRPr="001E3D81">
        <w:rPr>
          <w:b/>
        </w:rPr>
        <w:t>5. Scossalina di raccordo Metallica</w:t>
      </w:r>
      <w:r>
        <w:t xml:space="preserve">: scossaline realizzate tramite stampo senza saldature </w:t>
      </w:r>
      <w:r w:rsidR="00DE61D0">
        <w:t xml:space="preserve">o con giunto strutturale su quelle universali . Metallica </w:t>
      </w:r>
      <w:r>
        <w:t>protetta con powder coating resistente alla corrosione conforme alle seguenti specifiche: ASTM A 653/A 653M o ASTM A 463/A 463M con uno spessore minimo pari a 0.7mm.</w:t>
      </w:r>
    </w:p>
    <w:p w14:paraId="1DA20886" w14:textId="77777777" w:rsidR="00AF7B7A" w:rsidRDefault="00AF7B7A" w:rsidP="00251B62">
      <w:pPr>
        <w:jc w:val="both"/>
        <w:rPr>
          <w:i/>
        </w:rPr>
      </w:pPr>
      <w:r>
        <w:t xml:space="preserve"> </w:t>
      </w:r>
      <w:r>
        <w:rPr>
          <w:i/>
        </w:rPr>
        <w:t>Opzioni scossalina: Altezza collare scossalina piana  100mm-</w:t>
      </w:r>
      <w:r w:rsidR="00DE61D0">
        <w:rPr>
          <w:i/>
        </w:rPr>
        <w:t xml:space="preserve">150mm </w:t>
      </w:r>
      <w:r>
        <w:rPr>
          <w:i/>
        </w:rPr>
        <w:t xml:space="preserve">. </w:t>
      </w:r>
      <w:r w:rsidR="00DE61D0">
        <w:rPr>
          <w:i/>
        </w:rPr>
        <w:t xml:space="preserve">Scossalina universale per tetti in terra cotta disponibile piana o per coperture inclinate. </w:t>
      </w:r>
      <w:r>
        <w:rPr>
          <w:i/>
        </w:rPr>
        <w:t>Dimension</w:t>
      </w:r>
      <w:r w:rsidR="00DE61D0">
        <w:rPr>
          <w:i/>
        </w:rPr>
        <w:t>i delle scossaline visionabile nella sez disegni cad .Eventuali torrette di rialzo disponibili da 100mm-300mm-600mm-1200mm</w:t>
      </w:r>
    </w:p>
    <w:p w14:paraId="6C2DCA9A" w14:textId="77777777" w:rsidR="0085365C" w:rsidRPr="001705F6" w:rsidRDefault="0085365C" w:rsidP="00251B62">
      <w:pPr>
        <w:jc w:val="both"/>
      </w:pPr>
      <w:r w:rsidRPr="001705F6">
        <w:rPr>
          <w:b/>
          <w:i/>
        </w:rPr>
        <w:t>5.</w:t>
      </w:r>
      <w:r w:rsidR="001705F6" w:rsidRPr="001705F6">
        <w:rPr>
          <w:b/>
          <w:i/>
        </w:rPr>
        <w:t xml:space="preserve">Severe </w:t>
      </w:r>
      <w:r w:rsidR="001705F6" w:rsidRPr="004B7170">
        <w:rPr>
          <w:b/>
          <w:i/>
        </w:rPr>
        <w:t>Climate</w:t>
      </w:r>
      <w:r w:rsidR="001705F6" w:rsidRPr="001705F6">
        <w:rPr>
          <w:b/>
          <w:i/>
        </w:rPr>
        <w:t xml:space="preserve"> </w:t>
      </w:r>
      <w:r w:rsidR="001705F6" w:rsidRPr="004B7170">
        <w:rPr>
          <w:b/>
          <w:i/>
        </w:rPr>
        <w:t>Glazing</w:t>
      </w:r>
      <w:r w:rsidR="001705F6" w:rsidRPr="001705F6">
        <w:rPr>
          <w:b/>
          <w:i/>
        </w:rPr>
        <w:t xml:space="preserve">: </w:t>
      </w:r>
      <w:r w:rsidR="001705F6" w:rsidRPr="001705F6">
        <w:t>Accessorio Opzionale da installare nella parte superiore del condotto d’estensione che si inserisce nel condotto A.</w:t>
      </w:r>
      <w:r w:rsidR="00603E96">
        <w:t xml:space="preserve"> </w:t>
      </w:r>
      <w:r w:rsidR="001705F6" w:rsidRPr="001705F6">
        <w:t xml:space="preserve">Questa lente ha </w:t>
      </w:r>
      <w:r w:rsidR="00603E96">
        <w:t>lo scopo di creare una seconda camera d’aria che neutralizza le possibili differenze di temperatura tra interno ed esterno evitando il moto convettivo dell’aria all’interno del condotto.</w:t>
      </w:r>
    </w:p>
    <w:p w14:paraId="33C2728D" w14:textId="77777777" w:rsidR="000A675A" w:rsidRDefault="002F5BD6" w:rsidP="00251B62">
      <w:pPr>
        <w:jc w:val="both"/>
      </w:pPr>
      <w:r w:rsidRPr="002F5BD6">
        <w:rPr>
          <w:b/>
        </w:rPr>
        <w:t>6. Condotti iniziali e terminali in Spectralight® Infinity con curvatura variabile 0-30°:</w:t>
      </w:r>
      <w:r>
        <w:t xml:space="preserve"> Realizzati in alluminio con spessore di 0.5mm e</w:t>
      </w:r>
      <w:r w:rsidR="00BD0AA9">
        <w:t xml:space="preserve"> lunghezza 400mm sono rivestiti </w:t>
      </w:r>
      <w:r w:rsidR="00131BAC">
        <w:t>internamente</w:t>
      </w:r>
      <w:r>
        <w:t xml:space="preserve"> </w:t>
      </w:r>
      <w:r w:rsidR="00235663">
        <w:t xml:space="preserve">in </w:t>
      </w:r>
      <w:r w:rsidR="00235663" w:rsidRPr="00235663">
        <w:t>Spectralight® Infinity</w:t>
      </w:r>
      <w:r w:rsidR="00235663"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</w:t>
      </w:r>
      <w:r w:rsidR="00823504">
        <w:t xml:space="preserve">nm. Riflessione spettro solare </w:t>
      </w:r>
      <w:r>
        <w:t xml:space="preserve"> compreso </w:t>
      </w:r>
      <w:r w:rsidR="00823504">
        <w:t xml:space="preserve">tra </w:t>
      </w:r>
      <w:r>
        <w:t>400nm e 2500nm inferiore 94%.</w:t>
      </w:r>
      <w:r w:rsidR="00235663">
        <w:t xml:space="preserve"> </w:t>
      </w:r>
      <w:r w:rsidR="0093702A">
        <w:t>I condotti iniziali e terminali consentono una angolatura variabile 0-30° per aggirare eventuali ostacoli e facilitare l’installazione</w:t>
      </w:r>
    </w:p>
    <w:p w14:paraId="45B167C2" w14:textId="77777777" w:rsidR="0093702A" w:rsidRDefault="0093702A" w:rsidP="00251B62">
      <w:pPr>
        <w:jc w:val="both"/>
      </w:pPr>
      <w:r w:rsidRPr="000A675A">
        <w:rPr>
          <w:b/>
        </w:rPr>
        <w:t xml:space="preserve">7 </w:t>
      </w:r>
      <w:r w:rsidRPr="002F5BD6">
        <w:rPr>
          <w:b/>
        </w:rPr>
        <w:t xml:space="preserve">. Condotti </w:t>
      </w:r>
      <w:r>
        <w:rPr>
          <w:b/>
        </w:rPr>
        <w:t xml:space="preserve">d’estensione </w:t>
      </w:r>
      <w:r w:rsidRPr="002F5BD6">
        <w:rPr>
          <w:b/>
        </w:rPr>
        <w:t xml:space="preserve"> in Spectralight® Infinity</w:t>
      </w:r>
      <w:r>
        <w:rPr>
          <w:b/>
        </w:rPr>
        <w:t>:</w:t>
      </w:r>
      <w:r w:rsidRPr="002F5BD6">
        <w:rPr>
          <w:b/>
        </w:rPr>
        <w:t xml:space="preserve"> </w:t>
      </w:r>
      <w:r>
        <w:t>Realizzati in alluminio con spessore di 0.5mm e</w:t>
      </w:r>
      <w:r w:rsidR="00BD0AA9">
        <w:t xml:space="preserve"> Lunghezza 600mm sono </w:t>
      </w:r>
      <w:r>
        <w:t xml:space="preserve"> rivestiti</w:t>
      </w:r>
      <w:r w:rsidR="00D97DBA">
        <w:t xml:space="preserve"> internamente </w:t>
      </w:r>
      <w:r>
        <w:t xml:space="preserve"> in </w:t>
      </w:r>
      <w:r w:rsidRPr="00235663">
        <w:t>Spectralight® Infinity</w:t>
      </w:r>
      <w:r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solare a compreso 400nm e 2500nm inferiore 94%. Che consentono il collegamento con il condotto  iniziale e finale senza discontinuità,salvo nei punti di innesto dei singoli componenti.</w:t>
      </w:r>
      <w:r w:rsidR="00BD0AA9">
        <w:t xml:space="preserve"> Il condotto a curvatura variabile 0-90° è disponibile su richiesta </w:t>
      </w:r>
    </w:p>
    <w:p w14:paraId="41E663D4" w14:textId="77777777" w:rsidR="001F2A72" w:rsidRDefault="001F2A72" w:rsidP="00251B62">
      <w:pPr>
        <w:jc w:val="both"/>
      </w:pPr>
      <w:r>
        <w:rPr>
          <w:b/>
        </w:rPr>
        <w:t>8</w:t>
      </w:r>
      <w:r w:rsidRPr="002F5BD6">
        <w:rPr>
          <w:b/>
        </w:rPr>
        <w:t>. Condotti  in Spectralight® Infinity con curvatura variabile 0-</w:t>
      </w:r>
      <w:r>
        <w:rPr>
          <w:b/>
        </w:rPr>
        <w:t>9</w:t>
      </w:r>
      <w:r w:rsidRPr="002F5BD6">
        <w:rPr>
          <w:b/>
        </w:rPr>
        <w:t>0</w:t>
      </w:r>
      <w:r>
        <w:rPr>
          <w:b/>
        </w:rPr>
        <w:t>°</w:t>
      </w:r>
      <w:r w:rsidRPr="002F5BD6">
        <w:rPr>
          <w:b/>
        </w:rPr>
        <w:t>:</w:t>
      </w:r>
      <w:r>
        <w:t xml:space="preserve"> Realizzati in alluminio con spessore di 0.5mm e lunghezza 400mm sono rivestiti internamente in </w:t>
      </w:r>
      <w:r w:rsidRPr="00235663">
        <w:t>Spectralight® Infinity</w:t>
      </w:r>
      <w:r w:rsidRPr="002F5BD6">
        <w:rPr>
          <w:b/>
        </w:rPr>
        <w:t xml:space="preserve"> </w:t>
      </w:r>
      <w:r>
        <w:t xml:space="preserve"> materiale ad altissima riflettenza speculare maggiore 99.6 % e dello spettro visibile compreso tra 400nm e 760nm. Riflessione spettro solare  compreso tra 400nm e 2500nm inferiore 94%. I condotti 0-90° </w:t>
      </w:r>
      <w:r w:rsidR="00DE61D0">
        <w:t>consentono un</w:t>
      </w:r>
      <w:r w:rsidRPr="001F2A72">
        <w:t xml:space="preserve"> </w:t>
      </w:r>
      <w:r>
        <w:t xml:space="preserve"> angolatura variabile 0-90° per aggirare eventuali ostacoli e facilitare l’installazione</w:t>
      </w:r>
      <w:r w:rsidR="000B4E16">
        <w:t>.</w:t>
      </w:r>
    </w:p>
    <w:p w14:paraId="3E909A80" w14:textId="77777777" w:rsidR="00FD1C37" w:rsidRPr="00FD1C37" w:rsidRDefault="00FD1C37" w:rsidP="00251B62">
      <w:pPr>
        <w:jc w:val="both"/>
        <w:rPr>
          <w:b/>
        </w:rPr>
      </w:pPr>
      <w:r w:rsidRPr="00FD1C37">
        <w:rPr>
          <w:b/>
        </w:rPr>
        <w:t>9.</w:t>
      </w:r>
      <w:r>
        <w:rPr>
          <w:b/>
        </w:rPr>
        <w:t xml:space="preserve"> Anello diffusore: </w:t>
      </w:r>
      <w:r>
        <w:t>In materiale acrilico, realizzato per iniezione in stampi, classificato come  CC1, spessore  3  mm antiurto.</w:t>
      </w:r>
    </w:p>
    <w:p w14:paraId="4C83FC36" w14:textId="77777777" w:rsidR="001705F6" w:rsidRPr="001705F6" w:rsidRDefault="00FD1C37" w:rsidP="00251B62">
      <w:pPr>
        <w:jc w:val="both"/>
      </w:pPr>
      <w:r>
        <w:rPr>
          <w:b/>
          <w:i/>
        </w:rPr>
        <w:lastRenderedPageBreak/>
        <w:t>10</w:t>
      </w:r>
      <w:r w:rsidR="001705F6" w:rsidRPr="001705F6">
        <w:rPr>
          <w:b/>
          <w:i/>
        </w:rPr>
        <w:t xml:space="preserve">.Natural Effect Lents for Climate Control: </w:t>
      </w:r>
      <w:r w:rsidR="001705F6">
        <w:t>Da installare nella parte inferiore del condotto o al di sopra del diffusore .Q</w:t>
      </w:r>
      <w:r w:rsidR="001705F6" w:rsidRPr="001705F6">
        <w:t>uesta</w:t>
      </w:r>
      <w:r w:rsidR="001705F6">
        <w:t xml:space="preserve"> lente con guarnizione a tenuta elimina il passaggio </w:t>
      </w:r>
      <w:r w:rsidR="001705F6" w:rsidRPr="001705F6">
        <w:t xml:space="preserve"> dell’aria </w:t>
      </w:r>
      <w:r w:rsidR="001705F6">
        <w:t xml:space="preserve">all’interno del condotto. </w:t>
      </w:r>
    </w:p>
    <w:p w14:paraId="7E6F8A0A" w14:textId="77777777" w:rsidR="001E1DBA" w:rsidRDefault="00FD1C37" w:rsidP="00251B62">
      <w:pPr>
        <w:jc w:val="both"/>
      </w:pPr>
      <w:r>
        <w:rPr>
          <w:b/>
        </w:rPr>
        <w:t>11</w:t>
      </w:r>
      <w:r w:rsidR="0093702A" w:rsidRPr="0093702A">
        <w:rPr>
          <w:b/>
        </w:rPr>
        <w:t>.Diffusore</w:t>
      </w:r>
      <w:r w:rsidR="0093702A">
        <w:t>: Diffusore</w:t>
      </w:r>
      <w:r w:rsidR="001E1DBA">
        <w:t xml:space="preserve"> circolare</w:t>
      </w:r>
      <w:r w:rsidR="0093702A">
        <w:t xml:space="preserve"> </w:t>
      </w:r>
      <w:r w:rsidR="001E1DBA">
        <w:t xml:space="preserve">da assemblare direttamente alla parte terminale </w:t>
      </w:r>
      <w:r>
        <w:t xml:space="preserve"> del condotto B </w:t>
      </w:r>
      <w:r w:rsidR="008F138A">
        <w:t>t</w:t>
      </w:r>
      <w:r>
        <w:t>ramite innest</w:t>
      </w:r>
      <w:r w:rsidR="00673F0F">
        <w:t>o meccanico</w:t>
      </w:r>
      <w:r>
        <w:t xml:space="preserve"> e rotazione </w:t>
      </w:r>
      <w:r w:rsidR="001E1DBA">
        <w:t xml:space="preserve">. Anello del diffusore in  materiale acrilico (bianco) realizzato con iniezione in stampo. </w:t>
      </w:r>
    </w:p>
    <w:p w14:paraId="180FAD74" w14:textId="77777777" w:rsidR="00235663" w:rsidRDefault="00FD1C37" w:rsidP="00251B62">
      <w:pPr>
        <w:jc w:val="both"/>
      </w:pPr>
      <w:r>
        <w:t xml:space="preserve">Quattro </w:t>
      </w:r>
      <w:r w:rsidR="0093702A">
        <w:t xml:space="preserve"> tipi di </w:t>
      </w:r>
      <w:r>
        <w:t xml:space="preserve">finiture OptiView® o Vusion® o </w:t>
      </w:r>
      <w:r w:rsidR="00044998">
        <w:t>OptiView</w:t>
      </w:r>
      <w:r>
        <w:t>®</w:t>
      </w:r>
      <w:r w:rsidR="008F138A">
        <w:t xml:space="preserve"> Conico o Vusion Conico </w:t>
      </w:r>
      <w:r>
        <w:t>rispecchiano i file fotometrici in funzione della situazione della finitura scelta.</w:t>
      </w:r>
    </w:p>
    <w:p w14:paraId="59A8FDCA" w14:textId="77777777" w:rsidR="008F138A" w:rsidRDefault="00151AF4" w:rsidP="00251B62">
      <w:pPr>
        <w:jc w:val="both"/>
        <w:rPr>
          <w:b/>
        </w:rPr>
      </w:pPr>
      <w:r w:rsidRPr="008F138A">
        <w:rPr>
          <w:b/>
        </w:rPr>
        <w:t xml:space="preserve">Abbinamento Solatube DS </w:t>
      </w:r>
      <w:r w:rsidR="008F138A" w:rsidRPr="008F138A">
        <w:rPr>
          <w:b/>
        </w:rPr>
        <w:t>160</w:t>
      </w:r>
      <w:r w:rsidRPr="008F138A">
        <w:rPr>
          <w:b/>
        </w:rPr>
        <w:t xml:space="preserve"> Daylighting System con </w:t>
      </w:r>
      <w:r w:rsidR="008F138A" w:rsidRPr="008F138A">
        <w:rPr>
          <w:b/>
        </w:rPr>
        <w:t xml:space="preserve"> accessori</w:t>
      </w:r>
      <w:r w:rsidR="008F138A">
        <w:rPr>
          <w:b/>
        </w:rPr>
        <w:t xml:space="preserve"> Op</w:t>
      </w:r>
      <w:r w:rsidR="008F138A" w:rsidRPr="008F138A">
        <w:rPr>
          <w:b/>
        </w:rPr>
        <w:t xml:space="preserve">zionali </w:t>
      </w:r>
      <w:r w:rsidR="008F138A">
        <w:rPr>
          <w:b/>
        </w:rPr>
        <w:t xml:space="preserve"> conformi CE</w:t>
      </w:r>
    </w:p>
    <w:p w14:paraId="431D018E" w14:textId="77777777" w:rsidR="00151AF4" w:rsidRPr="008F138A" w:rsidRDefault="00151AF4" w:rsidP="00251B62">
      <w:pPr>
        <w:jc w:val="both"/>
        <w:rPr>
          <w:b/>
        </w:rPr>
      </w:pPr>
      <w:r w:rsidRPr="008F138A">
        <w:rPr>
          <w:b/>
        </w:rPr>
        <w:t xml:space="preserve">Daylight </w:t>
      </w:r>
      <w:r w:rsidR="00AF5ACB" w:rsidRPr="008F138A">
        <w:rPr>
          <w:b/>
        </w:rPr>
        <w:t>Dimmer™</w:t>
      </w:r>
      <w:r w:rsidRPr="008F138A">
        <w:rPr>
          <w:b/>
        </w:rPr>
        <w:t>.</w:t>
      </w:r>
    </w:p>
    <w:p w14:paraId="4AD16FE3" w14:textId="77777777" w:rsidR="002D4704" w:rsidRDefault="002A2BF2" w:rsidP="00251B62">
      <w:pPr>
        <w:jc w:val="both"/>
      </w:pPr>
      <w:r w:rsidRPr="002A2BF2">
        <w:t xml:space="preserve">Il Solatube DS </w:t>
      </w:r>
      <w:r w:rsidR="008F138A">
        <w:t>160</w:t>
      </w:r>
      <w:r w:rsidRPr="002A2BF2">
        <w:t xml:space="preserve"> può essere accessoriato</w:t>
      </w:r>
      <w:r>
        <w:t xml:space="preserve"> con un otturatore a farfalla elettrico conforme CE. Il Daylight Dimmer® usa un entrata universale tra 90 – 277 V AC a 50 o 60 Hz. Il sistema di controllo consente di mettere in serie 40 elementi con una tensione ridotta 0-10 V DC.</w:t>
      </w:r>
      <w:r w:rsidRPr="002A2BF2">
        <w:t xml:space="preserve"> </w:t>
      </w:r>
    </w:p>
    <w:p w14:paraId="5FBE465B" w14:textId="77777777" w:rsidR="00472CBA" w:rsidRDefault="002D4704" w:rsidP="00251B62">
      <w:pPr>
        <w:jc w:val="both"/>
      </w:pPr>
      <w:r>
        <w:rPr>
          <w:u w:val="single"/>
        </w:rPr>
        <w:t xml:space="preserve">Radiocomando </w:t>
      </w:r>
      <w:r>
        <w:t>: marchiato CE  La trasmissione dei codici comando è tipo Rolling-Code. Il codice viene cambiato ad ogni trasmissione attraverso l’utilizzo di un algoritmo che solo il ricevitore è in grado riconoscere frequenza di ricezione. Nel ricevitore il codice è memorizzato da una EEprom che mantiene le informazioni anche nel caso di mancanza di alimentazione . Caratteristiche tecniche :868,3MHz , Frequenza Intermedia IF 10,7MHz,Impedenza d’ingresso 50Ω,sensibilità segnale 1μ Vdc,temperatura di esercizio -20°C : +55°C Massimo carico su motore 28W.</w:t>
      </w:r>
    </w:p>
    <w:p w14:paraId="219E0AAB" w14:textId="77777777" w:rsidR="008F138A" w:rsidRDefault="008F138A" w:rsidP="00251B62">
      <w:pPr>
        <w:jc w:val="both"/>
        <w:rPr>
          <w:b/>
        </w:rPr>
      </w:pPr>
      <w:r w:rsidRPr="008F138A">
        <w:rPr>
          <w:b/>
        </w:rPr>
        <w:t>Kit di ventilazione Aggiuntivo</w:t>
      </w:r>
    </w:p>
    <w:p w14:paraId="470C1464" w14:textId="77777777" w:rsidR="008F138A" w:rsidRDefault="008F138A" w:rsidP="00251B62">
      <w:pPr>
        <w:jc w:val="both"/>
      </w:pPr>
      <w:r w:rsidRPr="008F138A">
        <w:t xml:space="preserve">Il Solatube DS 160 può essere abbinato ad aspirazione forzata dell’aria </w:t>
      </w:r>
      <w:r>
        <w:t>mediante presa,coperta da apposito accessorio laterale .Il comignolo ha una ser</w:t>
      </w:r>
      <w:r w:rsidR="00310EA1">
        <w:t>randa a chiusura gravitazionale. Il Sistema ha una portata pari a 3,25m³/min. Depressione massima pari a -60 Pa negativa . Condotti d’aria esalazione non inclusi diametro pari 10 cm.</w:t>
      </w:r>
    </w:p>
    <w:p w14:paraId="35772B1A" w14:textId="77777777" w:rsidR="00044998" w:rsidRDefault="00044998" w:rsidP="00251B62">
      <w:pPr>
        <w:jc w:val="both"/>
      </w:pPr>
      <w:r>
        <w:t>Kit Luce aggiuntivo:</w:t>
      </w:r>
    </w:p>
    <w:p w14:paraId="37BD5811" w14:textId="77777777" w:rsidR="00044998" w:rsidRPr="008F138A" w:rsidRDefault="00044998" w:rsidP="00251B62">
      <w:pPr>
        <w:jc w:val="both"/>
      </w:pPr>
      <w:r>
        <w:t>I Solatube DS 160 possono essere accessoriati con il kit luce aggiuntivo ( luce artificiale ).tipo di lampadina  inseribile 100W incandescenza o 26W fluorescente.</w:t>
      </w:r>
    </w:p>
    <w:p w14:paraId="75E852EC" w14:textId="77777777" w:rsidR="008F138A" w:rsidRDefault="001412F4" w:rsidP="00251B62">
      <w:pPr>
        <w:jc w:val="both"/>
        <w:rPr>
          <w:b/>
        </w:rPr>
      </w:pPr>
      <w:r>
        <w:rPr>
          <w:b/>
        </w:rPr>
        <w:t xml:space="preserve">Trasmittanza termica Norma EN –ISO 12567 </w:t>
      </w:r>
    </w:p>
    <w:p w14:paraId="6CC22443" w14:textId="77777777" w:rsidR="001412F4" w:rsidRDefault="001412F4" w:rsidP="001412F4">
      <w:pPr>
        <w:jc w:val="both"/>
      </w:pPr>
      <w:r>
        <w:t>Il prodotto Solatube Ds 160 ( 250mm ) ha una trasmittanza termica pari a U = 1,3 W/m²K . Per poter raggiungere valori  di trasmittanza termica inferiori al prodotto standard si deve applicare :</w:t>
      </w:r>
    </w:p>
    <w:p w14:paraId="6EF61A58" w14:textId="77777777" w:rsidR="001412F4" w:rsidRPr="00994C15" w:rsidRDefault="001412F4" w:rsidP="00994C15">
      <w:pPr>
        <w:pStyle w:val="Paragrafoelenco"/>
        <w:numPr>
          <w:ilvl w:val="0"/>
          <w:numId w:val="3"/>
        </w:numPr>
        <w:jc w:val="both"/>
      </w:pPr>
      <w:r w:rsidRPr="00994C15">
        <w:t xml:space="preserve">Shock Inner Dome calotta interna opzionale </w:t>
      </w:r>
    </w:p>
    <w:p w14:paraId="725D937B" w14:textId="03898B9A" w:rsidR="001412F4" w:rsidRDefault="001412F4" w:rsidP="00994C15">
      <w:pPr>
        <w:pStyle w:val="Paragrafoelenco"/>
        <w:numPr>
          <w:ilvl w:val="0"/>
          <w:numId w:val="3"/>
        </w:numPr>
        <w:jc w:val="both"/>
      </w:pPr>
      <w:r>
        <w:t>Effect lens</w:t>
      </w:r>
    </w:p>
    <w:p w14:paraId="4EBD32B7" w14:textId="21B4B12D" w:rsidR="000B5021" w:rsidRPr="000B5021" w:rsidRDefault="000B5021" w:rsidP="00994C15">
      <w:pPr>
        <w:pStyle w:val="Paragrafoelenco"/>
        <w:numPr>
          <w:ilvl w:val="0"/>
          <w:numId w:val="3"/>
        </w:numPr>
        <w:jc w:val="both"/>
        <w:rPr>
          <w:lang w:val="en-US"/>
        </w:rPr>
      </w:pPr>
      <w:r w:rsidRPr="000B5021">
        <w:rPr>
          <w:lang w:val="en-US"/>
        </w:rPr>
        <w:t>T.I.P Therma Insulat</w:t>
      </w:r>
      <w:r>
        <w:rPr>
          <w:lang w:val="en-US"/>
        </w:rPr>
        <w:t>ion Panel</w:t>
      </w:r>
    </w:p>
    <w:p w14:paraId="0AEFDD15" w14:textId="77777777" w:rsidR="001412F4" w:rsidRPr="00994C15" w:rsidRDefault="001412F4" w:rsidP="00994C15">
      <w:pPr>
        <w:pStyle w:val="Paragrafoelenco"/>
        <w:numPr>
          <w:ilvl w:val="0"/>
          <w:numId w:val="3"/>
        </w:numPr>
        <w:jc w:val="both"/>
        <w:rPr>
          <w:b/>
        </w:rPr>
      </w:pPr>
      <w:r>
        <w:t xml:space="preserve">E </w:t>
      </w:r>
      <w:r w:rsidR="00994C15">
        <w:t>un isolamento al condotto di spessore 1,5cm con trasmittanza termica uguale o inferiore a 0,033 W/m²K</w:t>
      </w:r>
    </w:p>
    <w:p w14:paraId="2F012ACC" w14:textId="787A5D23" w:rsidR="001412F4" w:rsidRDefault="00F951CB" w:rsidP="00251B62">
      <w:pPr>
        <w:jc w:val="both"/>
        <w:rPr>
          <w:b/>
        </w:rPr>
      </w:pPr>
      <w:r>
        <w:rPr>
          <w:b/>
        </w:rPr>
        <w:t>Con questi accorgimenti la trasmittanza termica arriva a 0.5 W/m²K come da certificati</w:t>
      </w:r>
    </w:p>
    <w:p w14:paraId="0C2F1E73" w14:textId="77777777" w:rsidR="00660381" w:rsidRDefault="00660381" w:rsidP="008D557A">
      <w:pPr>
        <w:rPr>
          <w:rFonts w:ascii="Arial" w:hAnsi="Arial" w:cs="Arial"/>
          <w:b/>
          <w:color w:val="222222"/>
        </w:rPr>
      </w:pPr>
    </w:p>
    <w:p w14:paraId="004EF4B9" w14:textId="614AC331" w:rsidR="008D557A" w:rsidRDefault="008D557A" w:rsidP="008D557A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Responsabilità del marchio CE</w:t>
      </w:r>
      <w:r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I produttori sono responsabili della marcatura CE, il marchio CE e le informazioni di accompagnamento possono essere trovate sul prodotto, sull'imballo, sulle brochure, sui documenti tecnici, sulle istruzioni di montaggio ecc. </w:t>
      </w:r>
    </w:p>
    <w:p w14:paraId="700F06A4" w14:textId="77777777" w:rsidR="008D557A" w:rsidRDefault="008D557A" w:rsidP="008D557A">
      <w:pPr>
        <w:rPr>
          <w:rFonts w:ascii="Calibri" w:hAnsi="Calibri" w:cs="Times New Roman"/>
        </w:rPr>
      </w:pPr>
    </w:p>
    <w:p w14:paraId="095409B8" w14:textId="77777777" w:rsidR="008D557A" w:rsidRDefault="008D557A" w:rsidP="00251B62">
      <w:pPr>
        <w:jc w:val="both"/>
        <w:rPr>
          <w:b/>
        </w:rPr>
      </w:pPr>
    </w:p>
    <w:p w14:paraId="75EC916D" w14:textId="0F93F35E" w:rsidR="008D557A" w:rsidRDefault="008D557A" w:rsidP="00251B62">
      <w:pPr>
        <w:jc w:val="both"/>
        <w:rPr>
          <w:b/>
        </w:rPr>
      </w:pPr>
    </w:p>
    <w:p w14:paraId="39EC1EDC" w14:textId="77777777" w:rsidR="008D557A" w:rsidRPr="001412F4" w:rsidRDefault="008D557A" w:rsidP="00251B62">
      <w:pPr>
        <w:jc w:val="both"/>
      </w:pPr>
    </w:p>
    <w:sectPr w:rsidR="008D557A" w:rsidRPr="001412F4" w:rsidSect="0012533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3A45" w14:textId="77777777" w:rsidR="00F0658A" w:rsidRDefault="00F0658A" w:rsidP="000A675A">
      <w:pPr>
        <w:spacing w:after="0" w:line="240" w:lineRule="auto"/>
      </w:pPr>
      <w:r>
        <w:separator/>
      </w:r>
    </w:p>
  </w:endnote>
  <w:endnote w:type="continuationSeparator" w:id="0">
    <w:p w14:paraId="7E8A3BFA" w14:textId="77777777" w:rsidR="00F0658A" w:rsidRDefault="00F0658A" w:rsidP="000A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8921" w14:textId="77777777" w:rsidR="001E1DBA" w:rsidRPr="009D3394" w:rsidRDefault="001E1DBA" w:rsidP="00682D5E">
    <w:pPr>
      <w:pStyle w:val="Pidipagina"/>
      <w:rPr>
        <w:lang w:val="en-US"/>
      </w:rPr>
    </w:pPr>
    <w:r w:rsidRPr="009D3394">
      <w:rPr>
        <w:lang w:val="en-US"/>
      </w:rPr>
      <w:t>Infinity Motion srl                                               VC- DS</w:t>
    </w:r>
    <w:r w:rsidR="009D3394" w:rsidRPr="009D3394">
      <w:rPr>
        <w:lang w:val="en-US"/>
      </w:rPr>
      <w:t xml:space="preserve"> 160   </w:t>
    </w:r>
    <w:r w:rsidRPr="009D3394">
      <w:rPr>
        <w:lang w:val="en-US"/>
      </w:rPr>
      <w:t xml:space="preserve">                                                   Tel:+39.0362.99.20.18</w:t>
    </w:r>
  </w:p>
  <w:p w14:paraId="1B6C9DB8" w14:textId="7607675C" w:rsidR="001E1DBA" w:rsidRPr="000F0A56" w:rsidRDefault="00621B8C" w:rsidP="00682D5E">
    <w:pPr>
      <w:pStyle w:val="Pidipagina"/>
    </w:pPr>
    <w:r>
      <w:t>Via Lavoratori Autobianchi 12/C</w:t>
    </w:r>
    <w:r w:rsidR="001E1DBA">
      <w:t xml:space="preserve">                    </w:t>
    </w:r>
    <w:r w:rsidR="009D3394">
      <w:t xml:space="preserve">   </w:t>
    </w:r>
    <w:r w:rsidR="000B5021">
      <w:t>07</w:t>
    </w:r>
    <w:r>
      <w:t>/0</w:t>
    </w:r>
    <w:r w:rsidR="000B5021">
      <w:t>5</w:t>
    </w:r>
    <w:r>
      <w:t>/20</w:t>
    </w:r>
    <w:r w:rsidR="00A1213A">
      <w:t>20</w:t>
    </w:r>
    <w:r>
      <w:t xml:space="preserve">    </w:t>
    </w:r>
    <w:r w:rsidR="001E1DBA">
      <w:t xml:space="preserve">   </w:t>
    </w:r>
    <w:r>
      <w:t xml:space="preserve"> </w:t>
    </w:r>
    <w:r w:rsidR="001E1DBA">
      <w:t xml:space="preserve">                                          Fax:+39.0362.90.50.93</w:t>
    </w:r>
  </w:p>
  <w:p w14:paraId="30EB5072" w14:textId="77777777" w:rsidR="001E1DBA" w:rsidRPr="000B5021" w:rsidRDefault="001E1DBA" w:rsidP="00682D5E">
    <w:pPr>
      <w:tabs>
        <w:tab w:val="left" w:pos="2730"/>
      </w:tabs>
      <w:rPr>
        <w:b/>
        <w:bCs/>
      </w:rPr>
    </w:pPr>
    <w:r>
      <w:t>200</w:t>
    </w:r>
    <w:r w:rsidR="00621B8C">
      <w:t>33 Desio (MB)</w:t>
    </w:r>
    <w:r w:rsidRPr="00682D5E">
      <w:t xml:space="preserve"> </w:t>
    </w:r>
    <w:r>
      <w:t xml:space="preserve">                                                                           </w:t>
    </w:r>
    <w:r w:rsidR="00621B8C">
      <w:t xml:space="preserve">    </w:t>
    </w:r>
    <w:r>
      <w:t xml:space="preserve">                      </w:t>
    </w:r>
    <w:r w:rsidR="00621B8C">
      <w:t xml:space="preserve">  </w:t>
    </w:r>
    <w:r>
      <w:t xml:space="preserve">          </w:t>
    </w:r>
    <w:r w:rsidRPr="000B5021">
      <w:rPr>
        <w:b/>
        <w:bCs/>
      </w:rPr>
      <w:t>www.infinitymotion.com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E189" w14:textId="77777777" w:rsidR="00F0658A" w:rsidRDefault="00F0658A" w:rsidP="000A675A">
      <w:pPr>
        <w:spacing w:after="0" w:line="240" w:lineRule="auto"/>
      </w:pPr>
      <w:r>
        <w:separator/>
      </w:r>
    </w:p>
  </w:footnote>
  <w:footnote w:type="continuationSeparator" w:id="0">
    <w:p w14:paraId="6796535F" w14:textId="77777777" w:rsidR="00F0658A" w:rsidRDefault="00F0658A" w:rsidP="000A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726D"/>
    <w:multiLevelType w:val="hybridMultilevel"/>
    <w:tmpl w:val="E708B26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91AA8"/>
    <w:multiLevelType w:val="hybridMultilevel"/>
    <w:tmpl w:val="9894C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01A7"/>
    <w:multiLevelType w:val="hybridMultilevel"/>
    <w:tmpl w:val="4CC0C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BA"/>
    <w:rsid w:val="00014EEC"/>
    <w:rsid w:val="000234DF"/>
    <w:rsid w:val="00044998"/>
    <w:rsid w:val="00081128"/>
    <w:rsid w:val="000A675A"/>
    <w:rsid w:val="000B4E16"/>
    <w:rsid w:val="000B5021"/>
    <w:rsid w:val="000C325A"/>
    <w:rsid w:val="000C5E29"/>
    <w:rsid w:val="000E1AC3"/>
    <w:rsid w:val="000E71E4"/>
    <w:rsid w:val="000F0A56"/>
    <w:rsid w:val="000F7365"/>
    <w:rsid w:val="00104AF5"/>
    <w:rsid w:val="00125333"/>
    <w:rsid w:val="00131871"/>
    <w:rsid w:val="00131BAC"/>
    <w:rsid w:val="001412F4"/>
    <w:rsid w:val="00151AF4"/>
    <w:rsid w:val="00165FD7"/>
    <w:rsid w:val="001705F6"/>
    <w:rsid w:val="00190F89"/>
    <w:rsid w:val="001B05DA"/>
    <w:rsid w:val="001D1FA6"/>
    <w:rsid w:val="001E1DBA"/>
    <w:rsid w:val="001E25B7"/>
    <w:rsid w:val="001E3D81"/>
    <w:rsid w:val="001F2A72"/>
    <w:rsid w:val="001F44BE"/>
    <w:rsid w:val="00235663"/>
    <w:rsid w:val="00251B62"/>
    <w:rsid w:val="00261030"/>
    <w:rsid w:val="002A2BF2"/>
    <w:rsid w:val="002A2F0C"/>
    <w:rsid w:val="002C4A31"/>
    <w:rsid w:val="002D03D0"/>
    <w:rsid w:val="002D4704"/>
    <w:rsid w:val="002F5BD6"/>
    <w:rsid w:val="00301FD2"/>
    <w:rsid w:val="00310EA1"/>
    <w:rsid w:val="00313FE3"/>
    <w:rsid w:val="003168D6"/>
    <w:rsid w:val="00344062"/>
    <w:rsid w:val="00346D49"/>
    <w:rsid w:val="00372A58"/>
    <w:rsid w:val="00381163"/>
    <w:rsid w:val="00383A89"/>
    <w:rsid w:val="0038583D"/>
    <w:rsid w:val="00390423"/>
    <w:rsid w:val="00391119"/>
    <w:rsid w:val="00395D88"/>
    <w:rsid w:val="003A1049"/>
    <w:rsid w:val="003A3D36"/>
    <w:rsid w:val="003B4273"/>
    <w:rsid w:val="003D767E"/>
    <w:rsid w:val="003E10AE"/>
    <w:rsid w:val="003E6104"/>
    <w:rsid w:val="0043426C"/>
    <w:rsid w:val="00443204"/>
    <w:rsid w:val="004454BC"/>
    <w:rsid w:val="00447B56"/>
    <w:rsid w:val="00472CBA"/>
    <w:rsid w:val="004757FF"/>
    <w:rsid w:val="00493607"/>
    <w:rsid w:val="004B7170"/>
    <w:rsid w:val="004C03B7"/>
    <w:rsid w:val="004C495C"/>
    <w:rsid w:val="004D5778"/>
    <w:rsid w:val="004E1C90"/>
    <w:rsid w:val="004E7364"/>
    <w:rsid w:val="004F3F5C"/>
    <w:rsid w:val="00504AB8"/>
    <w:rsid w:val="00527669"/>
    <w:rsid w:val="00541EBE"/>
    <w:rsid w:val="00553BF1"/>
    <w:rsid w:val="0057332C"/>
    <w:rsid w:val="00587C3B"/>
    <w:rsid w:val="005A690C"/>
    <w:rsid w:val="005A7CF2"/>
    <w:rsid w:val="005C2DE5"/>
    <w:rsid w:val="005D342F"/>
    <w:rsid w:val="005E2157"/>
    <w:rsid w:val="005E6136"/>
    <w:rsid w:val="005F5366"/>
    <w:rsid w:val="00603E96"/>
    <w:rsid w:val="00605BEC"/>
    <w:rsid w:val="006128B1"/>
    <w:rsid w:val="00621B8C"/>
    <w:rsid w:val="00660381"/>
    <w:rsid w:val="0066773E"/>
    <w:rsid w:val="006734C2"/>
    <w:rsid w:val="00673F0F"/>
    <w:rsid w:val="00682D5E"/>
    <w:rsid w:val="006C3077"/>
    <w:rsid w:val="006E13BB"/>
    <w:rsid w:val="007343DB"/>
    <w:rsid w:val="00766180"/>
    <w:rsid w:val="00772091"/>
    <w:rsid w:val="00790CA1"/>
    <w:rsid w:val="007A4D22"/>
    <w:rsid w:val="007B457E"/>
    <w:rsid w:val="007E496B"/>
    <w:rsid w:val="00823504"/>
    <w:rsid w:val="0085365C"/>
    <w:rsid w:val="008746D1"/>
    <w:rsid w:val="0088151B"/>
    <w:rsid w:val="008A211B"/>
    <w:rsid w:val="008D557A"/>
    <w:rsid w:val="008E17E7"/>
    <w:rsid w:val="008E3B51"/>
    <w:rsid w:val="008F138A"/>
    <w:rsid w:val="008F2B99"/>
    <w:rsid w:val="008F3587"/>
    <w:rsid w:val="008F576B"/>
    <w:rsid w:val="0093702A"/>
    <w:rsid w:val="009420DD"/>
    <w:rsid w:val="009430D4"/>
    <w:rsid w:val="0096723D"/>
    <w:rsid w:val="0097321F"/>
    <w:rsid w:val="00983269"/>
    <w:rsid w:val="009926F6"/>
    <w:rsid w:val="00994C15"/>
    <w:rsid w:val="009A2DEA"/>
    <w:rsid w:val="009B517D"/>
    <w:rsid w:val="009D3394"/>
    <w:rsid w:val="009D71AC"/>
    <w:rsid w:val="009F0D14"/>
    <w:rsid w:val="00A1213A"/>
    <w:rsid w:val="00A37D83"/>
    <w:rsid w:val="00A54158"/>
    <w:rsid w:val="00A54431"/>
    <w:rsid w:val="00A66BC8"/>
    <w:rsid w:val="00A90F65"/>
    <w:rsid w:val="00AB7259"/>
    <w:rsid w:val="00AE6482"/>
    <w:rsid w:val="00AF5ACB"/>
    <w:rsid w:val="00AF7B7A"/>
    <w:rsid w:val="00B02AC1"/>
    <w:rsid w:val="00B03C25"/>
    <w:rsid w:val="00B0768A"/>
    <w:rsid w:val="00B2606D"/>
    <w:rsid w:val="00B33B55"/>
    <w:rsid w:val="00B84A8D"/>
    <w:rsid w:val="00B8611D"/>
    <w:rsid w:val="00BB0F05"/>
    <w:rsid w:val="00BC6CFE"/>
    <w:rsid w:val="00BD0AA9"/>
    <w:rsid w:val="00BD15BA"/>
    <w:rsid w:val="00BD5A8E"/>
    <w:rsid w:val="00BE0F27"/>
    <w:rsid w:val="00BF7202"/>
    <w:rsid w:val="00C030C2"/>
    <w:rsid w:val="00C03892"/>
    <w:rsid w:val="00C17F2D"/>
    <w:rsid w:val="00C25B4C"/>
    <w:rsid w:val="00C608ED"/>
    <w:rsid w:val="00C61E48"/>
    <w:rsid w:val="00C84A7E"/>
    <w:rsid w:val="00CA505B"/>
    <w:rsid w:val="00CB1144"/>
    <w:rsid w:val="00D22E94"/>
    <w:rsid w:val="00D36E15"/>
    <w:rsid w:val="00D62087"/>
    <w:rsid w:val="00D645CA"/>
    <w:rsid w:val="00D73BB8"/>
    <w:rsid w:val="00D73E15"/>
    <w:rsid w:val="00D97DBA"/>
    <w:rsid w:val="00DD2C8F"/>
    <w:rsid w:val="00DD694D"/>
    <w:rsid w:val="00DE61D0"/>
    <w:rsid w:val="00DE69E5"/>
    <w:rsid w:val="00E1068A"/>
    <w:rsid w:val="00E20BA1"/>
    <w:rsid w:val="00EA4747"/>
    <w:rsid w:val="00EF2B92"/>
    <w:rsid w:val="00F0658A"/>
    <w:rsid w:val="00F30EE3"/>
    <w:rsid w:val="00F3431B"/>
    <w:rsid w:val="00F5171D"/>
    <w:rsid w:val="00F577AA"/>
    <w:rsid w:val="00F7310E"/>
    <w:rsid w:val="00F841B7"/>
    <w:rsid w:val="00F951CB"/>
    <w:rsid w:val="00F958B9"/>
    <w:rsid w:val="00FA6DDD"/>
    <w:rsid w:val="00FA7895"/>
    <w:rsid w:val="00FC2858"/>
    <w:rsid w:val="00FD1C37"/>
    <w:rsid w:val="00FE036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84DF7"/>
  <w15:docId w15:val="{0CAFE682-2090-47E0-A57B-58B63F71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C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75A"/>
  </w:style>
  <w:style w:type="paragraph" w:styleId="Pidipagina">
    <w:name w:val="footer"/>
    <w:basedOn w:val="Normale"/>
    <w:link w:val="PidipaginaCarattere"/>
    <w:uiPriority w:val="99"/>
    <w:unhideWhenUsed/>
    <w:rsid w:val="000A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7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0A5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82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CBE5-145E-4655-8D4D-6C95942B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Gallo</dc:creator>
  <cp:lastModifiedBy>Lorenzo Gallo</cp:lastModifiedBy>
  <cp:revision>6</cp:revision>
  <cp:lastPrinted>2016-09-14T10:00:00Z</cp:lastPrinted>
  <dcterms:created xsi:type="dcterms:W3CDTF">2020-05-07T12:49:00Z</dcterms:created>
  <dcterms:modified xsi:type="dcterms:W3CDTF">2020-05-26T13:29:00Z</dcterms:modified>
</cp:coreProperties>
</file>